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hint="eastAsia" w:eastAsia="宋体"/>
          <w:b w:val="0"/>
          <w:bCs w:val="0"/>
          <w:sz w:val="28"/>
          <w:szCs w:val="28"/>
          <w:lang w:eastAsia="zh-CN"/>
        </w:rPr>
      </w:pPr>
      <w:r>
        <w:rPr>
          <w:rFonts w:hint="eastAsia"/>
          <w:b w:val="0"/>
          <w:bCs w:val="0"/>
          <w:sz w:val="28"/>
          <w:szCs w:val="28"/>
          <w:lang w:eastAsia="zh-CN"/>
        </w:rPr>
        <w:t>附件</w:t>
      </w:r>
      <w:r>
        <w:rPr>
          <w:rFonts w:hint="eastAsia"/>
          <w:b w:val="0"/>
          <w:bCs w:val="0"/>
          <w:sz w:val="28"/>
          <w:szCs w:val="28"/>
          <w:lang w:val="en-US" w:eastAsia="zh-CN"/>
        </w:rPr>
        <w:t>1</w:t>
      </w:r>
    </w:p>
    <w:p>
      <w:pPr>
        <w:jc w:val="center"/>
        <w:rPr>
          <w:b/>
          <w:bCs/>
          <w:sz w:val="44"/>
          <w:szCs w:val="44"/>
        </w:rPr>
      </w:pPr>
      <w:r>
        <w:rPr>
          <w:rFonts w:hint="eastAsia"/>
          <w:b/>
          <w:bCs/>
          <w:sz w:val="44"/>
          <w:szCs w:val="44"/>
        </w:rPr>
        <w:t>海南省戒毒管理局办公局域网升级改造综合布线工程需求书</w:t>
      </w:r>
    </w:p>
    <w:p>
      <w:pPr>
        <w:rPr>
          <w:rFonts w:hint="eastAsia" w:eastAsia="宋体"/>
          <w:lang w:val="en-US" w:eastAsia="zh-CN"/>
        </w:rPr>
      </w:pPr>
      <w:r>
        <w:rPr>
          <w:rFonts w:hint="eastAsia"/>
          <w:lang w:val="en-US" w:eastAsia="zh-CN"/>
        </w:rPr>
        <w:t>-</w:t>
      </w:r>
    </w:p>
    <w:p>
      <w:pPr>
        <w:pStyle w:val="2"/>
        <w:numPr>
          <w:ilvl w:val="0"/>
          <w:numId w:val="0"/>
        </w:numPr>
        <w:spacing w:line="440" w:lineRule="exact"/>
        <w:rPr>
          <w:rFonts w:hint="eastAsia" w:ascii="楷体" w:hAnsi="楷体" w:eastAsia="楷体" w:cs="楷体"/>
          <w:b/>
          <w:bCs/>
          <w:sz w:val="28"/>
          <w:szCs w:val="28"/>
        </w:rPr>
      </w:pPr>
      <w:r>
        <w:rPr>
          <w:rFonts w:hint="eastAsia" w:ascii="楷体" w:hAnsi="楷体" w:eastAsia="楷体" w:cs="楷体"/>
          <w:b/>
          <w:bCs/>
          <w:sz w:val="28"/>
          <w:szCs w:val="28"/>
        </w:rPr>
        <w:t xml:space="preserve">    一、建设范围</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省戒毒管理局办公局域网原部署了一套无线网络承载机关OA办公系统业务，因业务和数据安全的需要，这套无线局域网络不能满足需要，急需在原有无线办公局域网络基础上增设两套有线网络，满足当前业务及数据安全的需求。局机关办公局域网络升级改造综合布线工程是在办公楼内办公区搭建两套新的有线局域网络，一套是接入省戒毒专网，承载局机关戒毒管理业务，同时，通过局机关机房网络核心节点接入省电子政务外网，实现戒毒业务数据与上级数据共享；一套是互联网，用于承载局机关OA办公业务。</w:t>
      </w:r>
    </w:p>
    <w:p>
      <w:pPr>
        <w:pStyle w:val="2"/>
        <w:numPr>
          <w:ilvl w:val="0"/>
          <w:numId w:val="0"/>
        </w:numPr>
        <w:spacing w:line="440" w:lineRule="exact"/>
        <w:rPr>
          <w:rFonts w:hint="eastAsia" w:ascii="楷体" w:hAnsi="楷体" w:eastAsia="楷体" w:cs="楷体"/>
          <w:b/>
          <w:bCs/>
          <w:sz w:val="28"/>
          <w:szCs w:val="28"/>
        </w:rPr>
      </w:pPr>
      <w:r>
        <w:rPr>
          <w:rFonts w:hint="eastAsia" w:ascii="楷体" w:hAnsi="楷体" w:eastAsia="楷体" w:cs="楷体"/>
          <w:b/>
          <w:bCs/>
          <w:sz w:val="28"/>
          <w:szCs w:val="28"/>
        </w:rPr>
        <w:t xml:space="preserve">    二、预算资金</w:t>
      </w:r>
    </w:p>
    <w:p>
      <w:pPr>
        <w:pStyle w:val="2"/>
        <w:numPr>
          <w:ilvl w:val="0"/>
          <w:numId w:val="0"/>
        </w:numPr>
        <w:spacing w:line="440" w:lineRule="exact"/>
        <w:rPr>
          <w:rFonts w:hint="eastAsia" w:ascii="仿宋_GB2312" w:hAnsi="仿宋_GB2312" w:eastAsia="仿宋_GB2312" w:cs="仿宋_GB2312"/>
          <w:b w:val="0"/>
          <w:bCs w:val="0"/>
          <w:sz w:val="28"/>
          <w:szCs w:val="28"/>
        </w:rPr>
      </w:pPr>
      <w:r>
        <w:rPr>
          <w:rFonts w:hint="eastAsia"/>
          <w:b w:val="0"/>
          <w:bCs w:val="0"/>
          <w:sz w:val="28"/>
          <w:szCs w:val="28"/>
        </w:rPr>
        <w:t xml:space="preserve">    </w:t>
      </w:r>
      <w:r>
        <w:rPr>
          <w:rFonts w:hint="eastAsia" w:ascii="仿宋_GB2312" w:hAnsi="仿宋_GB2312" w:eastAsia="仿宋_GB2312" w:cs="仿宋_GB2312"/>
          <w:b w:val="0"/>
          <w:bCs w:val="0"/>
          <w:sz w:val="28"/>
          <w:szCs w:val="28"/>
        </w:rPr>
        <w:t>局机关办公局域网升级改造综合布线工程预算资金为40000元，项目报价不得突破预算资金。</w:t>
      </w:r>
    </w:p>
    <w:p>
      <w:pPr>
        <w:pStyle w:val="2"/>
        <w:numPr>
          <w:ilvl w:val="0"/>
          <w:numId w:val="0"/>
        </w:numPr>
        <w:spacing w:line="440" w:lineRule="exact"/>
        <w:rPr>
          <w:rFonts w:hint="eastAsia" w:ascii="楷体" w:hAnsi="楷体" w:eastAsia="楷体" w:cs="楷体"/>
          <w:b/>
          <w:bCs/>
          <w:sz w:val="28"/>
          <w:szCs w:val="28"/>
        </w:rPr>
      </w:pPr>
      <w:r>
        <w:rPr>
          <w:rFonts w:hint="eastAsia" w:ascii="楷体" w:hAnsi="楷体" w:eastAsia="楷体" w:cs="楷体"/>
          <w:b/>
          <w:bCs/>
          <w:sz w:val="28"/>
          <w:szCs w:val="28"/>
        </w:rPr>
        <w:t xml:space="preserve">    三、建设内容</w:t>
      </w:r>
    </w:p>
    <w:p>
      <w:pPr>
        <w:pStyle w:val="2"/>
        <w:numPr>
          <w:ilvl w:val="0"/>
          <w:numId w:val="0"/>
        </w:numPr>
        <w:spacing w:line="440" w:lineRule="exact"/>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1.信息点位统计</w:t>
      </w:r>
    </w:p>
    <w:p>
      <w:pPr>
        <w:pStyle w:val="2"/>
        <w:numPr>
          <w:ilvl w:val="0"/>
          <w:numId w:val="0"/>
        </w:numPr>
        <w:spacing w:line="440" w:lineRule="exac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rPr>
        <w:t>新建综合布线覆盖省戒毒管理局办公楼的四、五、六、七楼及指挥中心，每个房间设置两个信息点，其中一套接入戒毒专网（电子政务外网），另一套接入互联网，房间及点位统计如下：</w:t>
      </w:r>
    </w:p>
    <w:p>
      <w:pPr>
        <w:spacing w:line="4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点位统计表</w:t>
      </w:r>
    </w:p>
    <w:tbl>
      <w:tblPr>
        <w:tblW w:w="7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13"/>
        <w:gridCol w:w="1559"/>
        <w:gridCol w:w="1802"/>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3" w:type="dxa"/>
            <w:vAlign w:val="center"/>
          </w:tcPr>
          <w:p>
            <w:pPr>
              <w:spacing w:line="4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楼层</w:t>
            </w:r>
          </w:p>
        </w:tc>
        <w:tc>
          <w:tcPr>
            <w:tcW w:w="1559" w:type="dxa"/>
            <w:vAlign w:val="center"/>
          </w:tcPr>
          <w:p>
            <w:pPr>
              <w:spacing w:line="4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房间数</w:t>
            </w:r>
          </w:p>
        </w:tc>
        <w:tc>
          <w:tcPr>
            <w:tcW w:w="1802" w:type="dxa"/>
            <w:vAlign w:val="center"/>
          </w:tcPr>
          <w:p>
            <w:pPr>
              <w:spacing w:line="4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信息点位数</w:t>
            </w:r>
          </w:p>
        </w:tc>
        <w:tc>
          <w:tcPr>
            <w:tcW w:w="2570" w:type="dxa"/>
            <w:vAlign w:val="center"/>
          </w:tcPr>
          <w:p>
            <w:pPr>
              <w:spacing w:line="4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3" w:type="dxa"/>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指挥中心</w:t>
            </w:r>
          </w:p>
        </w:tc>
        <w:tc>
          <w:tcPr>
            <w:tcW w:w="1559" w:type="dxa"/>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802" w:type="dxa"/>
            <w:vAlign w:val="center"/>
          </w:tcPr>
          <w:p>
            <w:pPr>
              <w:spacing w:line="440" w:lineRule="exact"/>
              <w:jc w:val="center"/>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auto"/>
                <w:sz w:val="28"/>
                <w:szCs w:val="28"/>
              </w:rPr>
              <w:t>2</w:t>
            </w:r>
          </w:p>
        </w:tc>
        <w:tc>
          <w:tcPr>
            <w:tcW w:w="2570" w:type="dxa"/>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3" w:type="dxa"/>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四楼</w:t>
            </w:r>
          </w:p>
        </w:tc>
        <w:tc>
          <w:tcPr>
            <w:tcW w:w="1559" w:type="dxa"/>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1802" w:type="dxa"/>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w:t>
            </w:r>
          </w:p>
        </w:tc>
        <w:tc>
          <w:tcPr>
            <w:tcW w:w="2570" w:type="dxa"/>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3" w:type="dxa"/>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五楼</w:t>
            </w:r>
          </w:p>
        </w:tc>
        <w:tc>
          <w:tcPr>
            <w:tcW w:w="1559" w:type="dxa"/>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1802" w:type="dxa"/>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w:t>
            </w:r>
          </w:p>
        </w:tc>
        <w:tc>
          <w:tcPr>
            <w:tcW w:w="2570" w:type="dxa"/>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3" w:type="dxa"/>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六楼</w:t>
            </w:r>
          </w:p>
        </w:tc>
        <w:tc>
          <w:tcPr>
            <w:tcW w:w="1559" w:type="dxa"/>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1802" w:type="dxa"/>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w:t>
            </w:r>
          </w:p>
        </w:tc>
        <w:tc>
          <w:tcPr>
            <w:tcW w:w="2570" w:type="dxa"/>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3" w:type="dxa"/>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七楼</w:t>
            </w:r>
          </w:p>
        </w:tc>
        <w:tc>
          <w:tcPr>
            <w:tcW w:w="1559" w:type="dxa"/>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802" w:type="dxa"/>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2570" w:type="dxa"/>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培训室、会议室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3" w:type="dxa"/>
            <w:vAlign w:val="center"/>
          </w:tcPr>
          <w:p>
            <w:pPr>
              <w:spacing w:line="4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总计</w:t>
            </w:r>
          </w:p>
        </w:tc>
        <w:tc>
          <w:tcPr>
            <w:tcW w:w="1559" w:type="dxa"/>
            <w:vAlign w:val="center"/>
          </w:tcPr>
          <w:p>
            <w:pPr>
              <w:spacing w:line="4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36</w:t>
            </w:r>
          </w:p>
        </w:tc>
        <w:tc>
          <w:tcPr>
            <w:tcW w:w="1802" w:type="dxa"/>
            <w:vAlign w:val="center"/>
          </w:tcPr>
          <w:p>
            <w:pPr>
              <w:spacing w:line="4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74</w:t>
            </w:r>
          </w:p>
        </w:tc>
        <w:tc>
          <w:tcPr>
            <w:tcW w:w="2570" w:type="dxa"/>
            <w:vAlign w:val="center"/>
          </w:tcPr>
          <w:p>
            <w:pPr>
              <w:spacing w:line="440" w:lineRule="exact"/>
              <w:jc w:val="center"/>
              <w:rPr>
                <w:rFonts w:hint="eastAsia" w:ascii="仿宋_GB2312" w:hAnsi="仿宋_GB2312" w:eastAsia="仿宋_GB2312" w:cs="仿宋_GB2312"/>
                <w:sz w:val="28"/>
                <w:szCs w:val="28"/>
              </w:rPr>
            </w:pPr>
          </w:p>
        </w:tc>
      </w:tr>
    </w:tbl>
    <w:p>
      <w:pPr>
        <w:spacing w:line="440" w:lineRule="exact"/>
        <w:rPr>
          <w:rFonts w:hint="eastAsia" w:ascii="仿宋_GB2312" w:hAnsi="仿宋_GB2312" w:eastAsia="仿宋_GB2312" w:cs="仿宋_GB2312"/>
          <w:sz w:val="28"/>
          <w:szCs w:val="28"/>
        </w:rPr>
      </w:pPr>
    </w:p>
    <w:p>
      <w:pPr>
        <w:pStyle w:val="3"/>
        <w:numPr>
          <w:ilvl w:val="1"/>
          <w:numId w:val="0"/>
        </w:numPr>
        <w:spacing w:line="440" w:lineRule="exact"/>
        <w:rPr>
          <w:rFonts w:hint="eastAsia" w:ascii="宋体" w:hAnsi="宋体" w:eastAsia="宋体" w:cs="宋体"/>
          <w:b w:val="0"/>
          <w:bCs w:val="0"/>
          <w:sz w:val="28"/>
          <w:szCs w:val="28"/>
          <w:lang w:val="en-US"/>
        </w:rPr>
      </w:pPr>
      <w:r>
        <w:rPr>
          <w:rFonts w:hint="eastAsia" w:ascii="宋体" w:hAnsi="宋体" w:eastAsia="宋体" w:cs="宋体"/>
          <w:b w:val="0"/>
          <w:bCs w:val="0"/>
          <w:sz w:val="28"/>
          <w:szCs w:val="28"/>
        </w:rPr>
        <w:t xml:space="preserve">    2.</w:t>
      </w:r>
      <w:r>
        <w:rPr>
          <w:rFonts w:hint="eastAsia" w:ascii="宋体" w:hAnsi="宋体" w:eastAsia="宋体" w:cs="宋体"/>
          <w:b w:val="0"/>
          <w:bCs w:val="0"/>
          <w:sz w:val="28"/>
          <w:szCs w:val="28"/>
          <w:lang w:val="en-US" w:eastAsia="zh-CN"/>
        </w:rPr>
        <w:t>综合布线</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垂直部分：在</w:t>
      </w:r>
      <w:r>
        <w:rPr>
          <w:rFonts w:hint="eastAsia" w:ascii="仿宋_GB2312" w:hAnsi="仿宋_GB2312" w:eastAsia="仿宋_GB2312" w:cs="仿宋_GB2312"/>
          <w:sz w:val="28"/>
          <w:szCs w:val="28"/>
          <w:lang w:val="en-US" w:eastAsia="zh-CN"/>
        </w:rPr>
        <w:t>四、六</w:t>
      </w:r>
      <w:r>
        <w:rPr>
          <w:rFonts w:hint="eastAsia" w:ascii="仿宋_GB2312" w:hAnsi="仿宋_GB2312" w:eastAsia="仿宋_GB2312" w:cs="仿宋_GB2312"/>
          <w:sz w:val="28"/>
          <w:szCs w:val="28"/>
        </w:rPr>
        <w:t>楼弱电井新装网络机柜</w:t>
      </w:r>
      <w:r>
        <w:rPr>
          <w:rFonts w:hint="eastAsia" w:ascii="仿宋_GB2312" w:hAnsi="仿宋_GB2312" w:eastAsia="仿宋_GB2312" w:cs="仿宋_GB2312"/>
          <w:sz w:val="28"/>
          <w:szCs w:val="28"/>
          <w:lang w:val="en-US" w:eastAsia="zh-CN"/>
        </w:rPr>
        <w:t>及24口交换机</w:t>
      </w:r>
      <w:r>
        <w:rPr>
          <w:rFonts w:hint="eastAsia" w:ascii="仿宋_GB2312" w:hAnsi="仿宋_GB2312" w:eastAsia="仿宋_GB2312" w:cs="仿宋_GB2312"/>
          <w:sz w:val="28"/>
          <w:szCs w:val="28"/>
        </w:rPr>
        <w:t>，从新增机柜布放4条超六类双绞线到三楼机房的汇聚交换机。</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水平部分：利用原来楼道的水平线槽分布设两套超六类双绞线到每个办公室，通过墙角到座位，明装线槽PVC24*14，每条线接入明装的信息模块。</w:t>
      </w:r>
    </w:p>
    <w:p>
      <w:pPr>
        <w:pStyle w:val="3"/>
        <w:numPr>
          <w:ilvl w:val="1"/>
          <w:numId w:val="0"/>
        </w:numPr>
        <w:spacing w:line="440" w:lineRule="exac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综合布线的超六类网线、水晶头、网络模块和网络机柜符合国标。</w:t>
      </w:r>
    </w:p>
    <w:p>
      <w:pPr>
        <w:pStyle w:val="3"/>
        <w:numPr>
          <w:ilvl w:val="1"/>
          <w:numId w:val="0"/>
        </w:numPr>
        <w:spacing w:line="440" w:lineRule="exact"/>
        <w:rPr>
          <w:rFonts w:hint="eastAsia" w:ascii="仿宋_GB2312" w:hAnsi="仿宋_GB2312" w:eastAsia="仿宋_GB2312" w:cs="仿宋_GB2312"/>
          <w:b w:val="0"/>
          <w:bCs w:val="0"/>
          <w:sz w:val="28"/>
          <w:szCs w:val="28"/>
        </w:rPr>
      </w:pPr>
      <w:r>
        <w:rPr>
          <w:rFonts w:hint="eastAsia" w:ascii="宋体" w:hAnsi="宋体" w:eastAsia="宋体" w:cs="宋体"/>
          <w:b w:val="0"/>
          <w:bCs w:val="0"/>
          <w:sz w:val="28"/>
          <w:szCs w:val="28"/>
        </w:rPr>
        <w:t xml:space="preserve">    </w:t>
      </w:r>
    </w:p>
    <w:p>
      <w:pPr>
        <w:pStyle w:val="3"/>
        <w:numPr>
          <w:ilvl w:val="1"/>
          <w:numId w:val="0"/>
        </w:numPr>
        <w:spacing w:line="440" w:lineRule="exact"/>
        <w:rPr>
          <w:rFonts w:hint="eastAsia" w:ascii="楷体" w:hAnsi="楷体" w:eastAsia="楷体" w:cs="楷体"/>
          <w:b/>
          <w:bCs/>
          <w:kern w:val="44"/>
          <w:sz w:val="28"/>
          <w:szCs w:val="28"/>
          <w:lang w:val="en-US" w:eastAsia="zh-CN" w:bidi="ar-SA"/>
        </w:rPr>
      </w:pPr>
      <w:r>
        <w:rPr>
          <w:rFonts w:hint="eastAsia" w:ascii="宋体" w:hAnsi="宋体" w:eastAsia="宋体" w:cs="宋体"/>
          <w:b/>
          <w:bCs/>
          <w:sz w:val="28"/>
          <w:szCs w:val="28"/>
          <w:lang w:val="en-US" w:eastAsia="zh-CN"/>
        </w:rPr>
        <w:t xml:space="preserve">   </w:t>
      </w:r>
      <w:r>
        <w:rPr>
          <w:rFonts w:hint="eastAsia" w:ascii="楷体" w:hAnsi="楷体" w:eastAsia="楷体" w:cs="楷体"/>
          <w:b/>
          <w:bCs/>
          <w:kern w:val="44"/>
          <w:sz w:val="28"/>
          <w:szCs w:val="28"/>
          <w:lang w:val="en-US" w:eastAsia="zh-CN" w:bidi="ar-SA"/>
        </w:rPr>
        <w:t xml:space="preserve"> 四、技术要求</w:t>
      </w:r>
    </w:p>
    <w:p>
      <w:pPr>
        <w:pStyle w:val="3"/>
        <w:numPr>
          <w:ilvl w:val="1"/>
          <w:numId w:val="0"/>
        </w:numPr>
        <w:spacing w:line="440" w:lineRule="exact"/>
        <w:ind w:firstLine="560" w:firstLineChars="20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交换设备性能要求：    </w:t>
      </w:r>
    </w:p>
    <w:p>
      <w:pPr>
        <w:pStyle w:val="3"/>
        <w:numPr>
          <w:ilvl w:val="1"/>
          <w:numId w:val="0"/>
        </w:numPr>
        <w:spacing w:line="440" w:lineRule="exact"/>
        <w:ind w:firstLine="560" w:firstLineChars="20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1.含千兆电口及千兆SFP；                         </w:t>
      </w:r>
    </w:p>
    <w:p>
      <w:pPr>
        <w:pStyle w:val="3"/>
        <w:numPr>
          <w:ilvl w:val="1"/>
          <w:numId w:val="0"/>
        </w:numPr>
        <w:spacing w:line="440" w:lineRule="exact"/>
        <w:ind w:firstLine="560" w:firstLineChars="20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2.交换容量≥336Gbps；                               </w:t>
      </w:r>
    </w:p>
    <w:p>
      <w:pPr>
        <w:pStyle w:val="3"/>
        <w:numPr>
          <w:ilvl w:val="1"/>
          <w:numId w:val="0"/>
        </w:numPr>
        <w:spacing w:line="440" w:lineRule="exact"/>
        <w:ind w:firstLine="560" w:firstLineChars="20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3.包转发率≥50Mpps；</w:t>
      </w:r>
      <w:bookmarkStart w:id="0" w:name="_GoBack"/>
      <w:bookmarkEnd w:id="0"/>
    </w:p>
    <w:p>
      <w:pPr>
        <w:pStyle w:val="3"/>
        <w:numPr>
          <w:ilvl w:val="1"/>
          <w:numId w:val="0"/>
        </w:numPr>
        <w:spacing w:line="440" w:lineRule="exact"/>
        <w:ind w:firstLine="560" w:firstLineChars="20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4.支持对端口速率限速；                                </w:t>
      </w:r>
    </w:p>
    <w:p>
      <w:pPr>
        <w:pStyle w:val="3"/>
        <w:numPr>
          <w:ilvl w:val="1"/>
          <w:numId w:val="0"/>
        </w:numPr>
        <w:spacing w:line="440" w:lineRule="exact"/>
        <w:ind w:firstLine="560" w:firstLineChars="20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5.支持防止DOS、ARP攻击功能、ICMP防攻击、支持端口隔离、端口安全、Sticky MAC、支持 IP、MAC、端口、VLAN的组合绑定；                    </w:t>
      </w:r>
    </w:p>
    <w:p>
      <w:pPr>
        <w:pStyle w:val="3"/>
        <w:numPr>
          <w:ilvl w:val="1"/>
          <w:numId w:val="0"/>
        </w:numPr>
        <w:spacing w:line="440" w:lineRule="exact"/>
        <w:ind w:firstLine="560" w:firstLineChars="20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6.支持通过命令行、Web、中文图形化配置软件等方式进行配置和管理；                               </w:t>
      </w:r>
    </w:p>
    <w:p>
      <w:pPr>
        <w:pStyle w:val="3"/>
        <w:numPr>
          <w:ilvl w:val="1"/>
          <w:numId w:val="0"/>
        </w:numPr>
        <w:spacing w:line="440" w:lineRule="exact"/>
        <w:ind w:firstLine="560" w:firstLineChars="20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7.支持RIP、RIPng、OSPF、OSPFv3路由协议；</w:t>
      </w:r>
    </w:p>
    <w:p>
      <w:pPr>
        <w:rPr>
          <w:rFonts w:hint="eastAsia"/>
          <w:lang w:val="en-US" w:eastAsia="zh-CN"/>
        </w:rPr>
      </w:pPr>
      <w:r>
        <w:rPr>
          <w:rFonts w:hint="eastAsia" w:ascii="仿宋_GB2312" w:hAnsi="仿宋_GB2312" w:eastAsia="仿宋_GB2312" w:cs="仿宋_GB2312"/>
          <w:b w:val="0"/>
          <w:bCs w:val="0"/>
          <w:sz w:val="28"/>
          <w:szCs w:val="28"/>
          <w:lang w:val="en-US" w:eastAsia="zh-CN"/>
        </w:rPr>
        <w:t xml:space="preserve">    8.支持用户分级管理和口令保护。</w:t>
      </w:r>
    </w:p>
    <w:p>
      <w:pPr>
        <w:pStyle w:val="3"/>
        <w:numPr>
          <w:ilvl w:val="1"/>
          <w:numId w:val="0"/>
        </w:numPr>
        <w:spacing w:line="440" w:lineRule="exact"/>
        <w:ind w:firstLine="560" w:firstLineChars="20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交换设备要求提供产品合格证。</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等线 Light">
    <w:altName w:val="宋体"/>
    <w:panose1 w:val="00000000000000000000"/>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34367492">
    <w:nsid w:val="439D1304"/>
    <w:multiLevelType w:val="multilevel"/>
    <w:tmpl w:val="439D1304"/>
    <w:lvl w:ilvl="0" w:tentative="1">
      <w:start w:val="1"/>
      <w:numFmt w:val="chineseCountingThousand"/>
      <w:pStyle w:val="2"/>
      <w:suff w:val="space"/>
      <w:lvlText w:val="%1、"/>
      <w:lvlJc w:val="left"/>
      <w:pPr>
        <w:ind w:left="0" w:firstLine="0"/>
      </w:pPr>
      <w:rPr>
        <w:rFonts w:hint="eastAsia"/>
      </w:rPr>
    </w:lvl>
    <w:lvl w:ilvl="1" w:tentative="1">
      <w:start w:val="1"/>
      <w:numFmt w:val="decimal"/>
      <w:pStyle w:val="3"/>
      <w:isLgl/>
      <w:suff w:val="space"/>
      <w:lvlText w:val="%1.%2."/>
      <w:lvlJc w:val="left"/>
      <w:pPr>
        <w:ind w:left="0" w:firstLine="0"/>
      </w:pPr>
      <w:rPr>
        <w:rFonts w:hint="eastAsia" w:ascii="宋体" w:hAnsi="宋体" w:eastAsia="宋体"/>
      </w:rPr>
    </w:lvl>
    <w:lvl w:ilvl="2" w:tentative="1">
      <w:start w:val="1"/>
      <w:numFmt w:val="decimal"/>
      <w:pStyle w:val="4"/>
      <w:isLgl/>
      <w:suff w:val="space"/>
      <w:lvlText w:val="%1.%2.%3."/>
      <w:lvlJc w:val="left"/>
      <w:pPr>
        <w:ind w:left="0" w:firstLine="0"/>
      </w:pPr>
      <w:rPr>
        <w:rFonts w:hint="eastAsia" w:ascii="宋体" w:hAnsi="宋体" w:eastAsia="宋体"/>
        <w:sz w:val="28"/>
      </w:rPr>
    </w:lvl>
    <w:lvl w:ilvl="3" w:tentative="1">
      <w:start w:val="1"/>
      <w:numFmt w:val="decimal"/>
      <w:pStyle w:val="5"/>
      <w:isLgl/>
      <w:suff w:val="space"/>
      <w:lvlText w:val="%1.%2.%3.%4."/>
      <w:lvlJc w:val="left"/>
      <w:pPr>
        <w:ind w:left="0" w:firstLine="0"/>
      </w:pPr>
      <w:rPr>
        <w:rFonts w:hint="eastAsia"/>
      </w:rPr>
    </w:lvl>
    <w:lvl w:ilvl="4" w:tentative="1">
      <w:start w:val="1"/>
      <w:numFmt w:val="decimal"/>
      <w:pStyle w:val="6"/>
      <w:isLgl/>
      <w:suff w:val="space"/>
      <w:lvlText w:val="%1.%2.%3.%4.%5."/>
      <w:lvlJc w:val="left"/>
      <w:pPr>
        <w:ind w:left="0" w:firstLine="0"/>
      </w:pPr>
      <w:rPr>
        <w:rFonts w:hint="eastAsia"/>
      </w:rPr>
    </w:lvl>
    <w:lvl w:ilvl="5" w:tentative="1">
      <w:start w:val="1"/>
      <w:numFmt w:val="decimal"/>
      <w:pStyle w:val="7"/>
      <w:isLgl/>
      <w:suff w:val="space"/>
      <w:lvlText w:val="%1.%2.%3.%4.%5.%6."/>
      <w:lvlJc w:val="left"/>
      <w:pPr>
        <w:ind w:left="0" w:firstLine="0"/>
      </w:pPr>
      <w:rPr>
        <w:rFonts w:hint="eastAsia"/>
      </w:rPr>
    </w:lvl>
    <w:lvl w:ilvl="6" w:tentative="1">
      <w:start w:val="1"/>
      <w:numFmt w:val="decimal"/>
      <w:pStyle w:val="8"/>
      <w:isLgl/>
      <w:suff w:val="space"/>
      <w:lvlText w:val="%1.%2.%3.%4.%5.%6.%7."/>
      <w:lvlJc w:val="left"/>
      <w:pPr>
        <w:ind w:left="0" w:firstLine="0"/>
      </w:pPr>
      <w:rPr>
        <w:rFonts w:hint="eastAsia"/>
      </w:rPr>
    </w:lvl>
    <w:lvl w:ilvl="7" w:tentative="1">
      <w:start w:val="1"/>
      <w:numFmt w:val="decimal"/>
      <w:pStyle w:val="9"/>
      <w:lvlText w:val="%1.%2.%3.%4.%5.%6.%7.%8"/>
      <w:lvlJc w:val="left"/>
      <w:pPr>
        <w:ind w:left="1440" w:hanging="1440"/>
      </w:pPr>
      <w:rPr>
        <w:rFonts w:hint="eastAsia"/>
      </w:rPr>
    </w:lvl>
    <w:lvl w:ilvl="8" w:tentative="1">
      <w:start w:val="1"/>
      <w:numFmt w:val="decimal"/>
      <w:pStyle w:val="10"/>
      <w:lvlText w:val="%1.%2.%3.%4.%5.%6.%7.%8.%9"/>
      <w:lvlJc w:val="left"/>
      <w:pPr>
        <w:ind w:left="1584" w:hanging="1584"/>
      </w:pPr>
      <w:rPr>
        <w:rFonts w:hint="eastAsia"/>
      </w:rPr>
    </w:lvl>
  </w:abstractNum>
  <w:num w:numId="1">
    <w:abstractNumId w:val="11343674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line="360" w:lineRule="auto"/>
      <w:jc w:val="both"/>
    </w:pPr>
    <w:rPr>
      <w:rFonts w:ascii="宋体" w:hAnsi="宋体" w:eastAsia="宋体" w:cs="宋体"/>
      <w:kern w:val="2"/>
      <w:sz w:val="24"/>
      <w:szCs w:val="22"/>
      <w:lang w:val="en-US" w:eastAsia="zh-CN" w:bidi="ar-SA"/>
    </w:rPr>
  </w:style>
  <w:style w:type="paragraph" w:styleId="2">
    <w:name w:val="heading 1"/>
    <w:basedOn w:val="1"/>
    <w:next w:val="1"/>
    <w:link w:val="15"/>
    <w:qFormat/>
    <w:uiPriority w:val="9"/>
    <w:pPr>
      <w:keepNext/>
      <w:keepLines/>
      <w:numPr>
        <w:ilvl w:val="0"/>
        <w:numId w:val="1"/>
      </w:numPr>
      <w:outlineLvl w:val="0"/>
    </w:pPr>
    <w:rPr>
      <w:b/>
      <w:bCs/>
      <w:kern w:val="44"/>
      <w:sz w:val="36"/>
      <w:szCs w:val="44"/>
    </w:rPr>
  </w:style>
  <w:style w:type="paragraph" w:styleId="3">
    <w:name w:val="heading 2"/>
    <w:basedOn w:val="1"/>
    <w:next w:val="1"/>
    <w:link w:val="16"/>
    <w:unhideWhenUsed/>
    <w:qFormat/>
    <w:uiPriority w:val="9"/>
    <w:pPr>
      <w:keepNext/>
      <w:keepLines/>
      <w:numPr>
        <w:ilvl w:val="1"/>
        <w:numId w:val="1"/>
      </w:numPr>
      <w:outlineLvl w:val="1"/>
    </w:pPr>
    <w:rPr>
      <w:b/>
      <w:bCs/>
      <w:sz w:val="32"/>
      <w:szCs w:val="32"/>
    </w:rPr>
  </w:style>
  <w:style w:type="paragraph" w:styleId="4">
    <w:name w:val="heading 3"/>
    <w:basedOn w:val="1"/>
    <w:next w:val="1"/>
    <w:link w:val="17"/>
    <w:unhideWhenUsed/>
    <w:qFormat/>
    <w:uiPriority w:val="9"/>
    <w:pPr>
      <w:keepNext/>
      <w:keepLines/>
      <w:numPr>
        <w:ilvl w:val="2"/>
        <w:numId w:val="1"/>
      </w:numPr>
      <w:outlineLvl w:val="2"/>
    </w:pPr>
    <w:rPr>
      <w:b/>
      <w:bCs/>
      <w:sz w:val="28"/>
      <w:szCs w:val="32"/>
    </w:rPr>
  </w:style>
  <w:style w:type="paragraph" w:styleId="5">
    <w:name w:val="heading 4"/>
    <w:basedOn w:val="1"/>
    <w:next w:val="1"/>
    <w:link w:val="18"/>
    <w:unhideWhenUsed/>
    <w:qFormat/>
    <w:uiPriority w:val="9"/>
    <w:pPr>
      <w:keepNext/>
      <w:keepLines/>
      <w:numPr>
        <w:ilvl w:val="3"/>
        <w:numId w:val="1"/>
      </w:numPr>
      <w:outlineLvl w:val="3"/>
    </w:pPr>
    <w:rPr>
      <w:b/>
      <w:bCs/>
      <w:sz w:val="28"/>
      <w:szCs w:val="28"/>
    </w:rPr>
  </w:style>
  <w:style w:type="paragraph" w:styleId="6">
    <w:name w:val="heading 5"/>
    <w:basedOn w:val="1"/>
    <w:next w:val="1"/>
    <w:link w:val="19"/>
    <w:unhideWhenUsed/>
    <w:qFormat/>
    <w:uiPriority w:val="9"/>
    <w:pPr>
      <w:keepNext/>
      <w:keepLines/>
      <w:numPr>
        <w:ilvl w:val="4"/>
        <w:numId w:val="1"/>
      </w:numPr>
      <w:outlineLvl w:val="4"/>
    </w:pPr>
    <w:rPr>
      <w:b/>
      <w:bCs/>
      <w:sz w:val="28"/>
      <w:szCs w:val="28"/>
    </w:rPr>
  </w:style>
  <w:style w:type="paragraph" w:styleId="7">
    <w:name w:val="heading 6"/>
    <w:basedOn w:val="1"/>
    <w:next w:val="1"/>
    <w:link w:val="20"/>
    <w:unhideWhenUsed/>
    <w:qFormat/>
    <w:uiPriority w:val="9"/>
    <w:pPr>
      <w:keepNext/>
      <w:keepLines/>
      <w:numPr>
        <w:ilvl w:val="5"/>
        <w:numId w:val="1"/>
      </w:numPr>
      <w:outlineLvl w:val="5"/>
    </w:pPr>
    <w:rPr>
      <w:b/>
      <w:bCs/>
      <w:sz w:val="28"/>
      <w:szCs w:val="24"/>
    </w:rPr>
  </w:style>
  <w:style w:type="paragraph" w:styleId="8">
    <w:name w:val="heading 7"/>
    <w:basedOn w:val="1"/>
    <w:next w:val="1"/>
    <w:link w:val="21"/>
    <w:unhideWhenUsed/>
    <w:qFormat/>
    <w:uiPriority w:val="9"/>
    <w:pPr>
      <w:keepNext/>
      <w:keepLines/>
      <w:numPr>
        <w:ilvl w:val="6"/>
        <w:numId w:val="1"/>
      </w:numPr>
      <w:outlineLvl w:val="6"/>
    </w:pPr>
    <w:rPr>
      <w:b/>
      <w:bCs/>
      <w:sz w:val="28"/>
      <w:szCs w:val="24"/>
    </w:rPr>
  </w:style>
  <w:style w:type="paragraph" w:styleId="9">
    <w:name w:val="heading 8"/>
    <w:basedOn w:val="1"/>
    <w:next w:val="1"/>
    <w:link w:val="22"/>
    <w:semiHidden/>
    <w:unhideWhenUsed/>
    <w:qFormat/>
    <w:uiPriority w:val="9"/>
    <w:pPr>
      <w:keepNext/>
      <w:keepLines/>
      <w:numPr>
        <w:ilvl w:val="7"/>
        <w:numId w:val="1"/>
      </w:numPr>
      <w:spacing w:before="240" w:after="64" w:line="320" w:lineRule="auto"/>
      <w:outlineLvl w:val="7"/>
    </w:pPr>
    <w:rPr>
      <w:rFonts w:ascii="等线 Light" w:hAnsi="等线 Light" w:eastAsia="等线 Light"/>
      <w:szCs w:val="24"/>
    </w:rPr>
  </w:style>
  <w:style w:type="paragraph" w:styleId="10">
    <w:name w:val="heading 9"/>
    <w:basedOn w:val="1"/>
    <w:next w:val="1"/>
    <w:link w:val="23"/>
    <w:semiHidden/>
    <w:unhideWhenUsed/>
    <w:qFormat/>
    <w:uiPriority w:val="9"/>
    <w:pPr>
      <w:keepNext/>
      <w:keepLines/>
      <w:numPr>
        <w:ilvl w:val="8"/>
        <w:numId w:val="1"/>
      </w:numPr>
      <w:spacing w:before="240" w:after="64" w:line="320" w:lineRule="auto"/>
      <w:outlineLvl w:val="8"/>
    </w:pPr>
    <w:rPr>
      <w:rFonts w:ascii="等线 Light" w:hAnsi="等线 Light" w:eastAsia="等线 Light"/>
      <w:sz w:val="21"/>
      <w:szCs w:val="21"/>
    </w:rPr>
  </w:style>
  <w:style w:type="character" w:default="1" w:styleId="13">
    <w:name w:val="Default Paragraph Font"/>
    <w:semiHidden/>
    <w:unhideWhenUsed/>
    <w:uiPriority w:val="1"/>
  </w:style>
  <w:style w:type="paragraph" w:styleId="11">
    <w:name w:val="footer"/>
    <w:basedOn w:val="1"/>
    <w:link w:val="25"/>
    <w:unhideWhenUsed/>
    <w:uiPriority w:val="99"/>
    <w:pPr>
      <w:tabs>
        <w:tab w:val="center" w:pos="4153"/>
        <w:tab w:val="right" w:pos="8306"/>
      </w:tabs>
      <w:snapToGrid w:val="0"/>
      <w:spacing w:line="240" w:lineRule="auto"/>
      <w:jc w:val="left"/>
    </w:pPr>
    <w:rPr>
      <w:sz w:val="18"/>
      <w:szCs w:val="18"/>
    </w:rPr>
  </w:style>
  <w:style w:type="paragraph" w:styleId="12">
    <w:name w:val="header"/>
    <w:basedOn w:val="1"/>
    <w:link w:val="24"/>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14">
    <w:name w:val="列出段落1"/>
    <w:basedOn w:val="1"/>
    <w:qFormat/>
    <w:uiPriority w:val="34"/>
    <w:pPr>
      <w:ind w:firstLine="420" w:firstLineChars="200"/>
    </w:pPr>
  </w:style>
  <w:style w:type="character" w:customStyle="1" w:styleId="15">
    <w:name w:val="标题 1 Char"/>
    <w:basedOn w:val="13"/>
    <w:link w:val="2"/>
    <w:uiPriority w:val="9"/>
    <w:rPr>
      <w:b/>
      <w:bCs/>
      <w:kern w:val="44"/>
      <w:sz w:val="36"/>
      <w:szCs w:val="44"/>
    </w:rPr>
  </w:style>
  <w:style w:type="character" w:customStyle="1" w:styleId="16">
    <w:name w:val="标题 2 Char"/>
    <w:basedOn w:val="13"/>
    <w:link w:val="3"/>
    <w:uiPriority w:val="9"/>
    <w:rPr>
      <w:b/>
      <w:bCs/>
      <w:sz w:val="32"/>
      <w:szCs w:val="32"/>
    </w:rPr>
  </w:style>
  <w:style w:type="character" w:customStyle="1" w:styleId="17">
    <w:name w:val="标题 3 Char"/>
    <w:basedOn w:val="13"/>
    <w:link w:val="4"/>
    <w:uiPriority w:val="9"/>
    <w:rPr>
      <w:b/>
      <w:bCs/>
      <w:sz w:val="28"/>
      <w:szCs w:val="32"/>
    </w:rPr>
  </w:style>
  <w:style w:type="character" w:customStyle="1" w:styleId="18">
    <w:name w:val="标题 4 Char"/>
    <w:basedOn w:val="13"/>
    <w:link w:val="5"/>
    <w:uiPriority w:val="9"/>
    <w:rPr>
      <w:b/>
      <w:bCs/>
      <w:sz w:val="28"/>
      <w:szCs w:val="28"/>
    </w:rPr>
  </w:style>
  <w:style w:type="character" w:customStyle="1" w:styleId="19">
    <w:name w:val="标题 5 Char"/>
    <w:basedOn w:val="13"/>
    <w:link w:val="6"/>
    <w:uiPriority w:val="9"/>
    <w:rPr>
      <w:b/>
      <w:bCs/>
      <w:sz w:val="28"/>
      <w:szCs w:val="28"/>
    </w:rPr>
  </w:style>
  <w:style w:type="character" w:customStyle="1" w:styleId="20">
    <w:name w:val="标题 6 Char"/>
    <w:basedOn w:val="13"/>
    <w:link w:val="7"/>
    <w:uiPriority w:val="9"/>
    <w:rPr>
      <w:b/>
      <w:bCs/>
      <w:sz w:val="28"/>
      <w:szCs w:val="24"/>
    </w:rPr>
  </w:style>
  <w:style w:type="character" w:customStyle="1" w:styleId="21">
    <w:name w:val="标题 7 Char"/>
    <w:basedOn w:val="13"/>
    <w:link w:val="8"/>
    <w:uiPriority w:val="9"/>
    <w:rPr>
      <w:b/>
      <w:bCs/>
      <w:sz w:val="28"/>
      <w:szCs w:val="24"/>
    </w:rPr>
  </w:style>
  <w:style w:type="character" w:customStyle="1" w:styleId="22">
    <w:name w:val="标题 8 Char"/>
    <w:basedOn w:val="13"/>
    <w:link w:val="9"/>
    <w:semiHidden/>
    <w:uiPriority w:val="9"/>
    <w:rPr>
      <w:rFonts w:ascii="等线 Light" w:hAnsi="等线 Light" w:eastAsia="等线 Light"/>
      <w:szCs w:val="24"/>
    </w:rPr>
  </w:style>
  <w:style w:type="character" w:customStyle="1" w:styleId="23">
    <w:name w:val="标题 9 Char"/>
    <w:basedOn w:val="13"/>
    <w:link w:val="10"/>
    <w:semiHidden/>
    <w:uiPriority w:val="9"/>
    <w:rPr>
      <w:rFonts w:ascii="等线 Light" w:hAnsi="等线 Light" w:eastAsia="等线 Light"/>
      <w:sz w:val="21"/>
      <w:szCs w:val="21"/>
    </w:rPr>
  </w:style>
  <w:style w:type="character" w:customStyle="1" w:styleId="24">
    <w:name w:val="页眉 Char"/>
    <w:basedOn w:val="13"/>
    <w:link w:val="12"/>
    <w:uiPriority w:val="99"/>
    <w:rPr>
      <w:sz w:val="18"/>
      <w:szCs w:val="18"/>
    </w:rPr>
  </w:style>
  <w:style w:type="character" w:customStyle="1" w:styleId="25">
    <w:name w:val="页脚 Char"/>
    <w:basedOn w:val="13"/>
    <w:link w:val="11"/>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199</Words>
  <Characters>1137</Characters>
  <Lines>9</Lines>
  <Paragraphs>2</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2016-08-10T02:10:00Z</dcterms:created>
  <dc:creator>罗志勇</dc:creator>
  <cp:lastModifiedBy>未定义</cp:lastModifiedBy>
  <dcterms:modified xsi:type="dcterms:W3CDTF">2021-04-26T00:18:18Z</dcterms:modified>
  <dc:title>海南省戒毒管理局办公局域网升级改造综合布线工程需求书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